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295" w:rsidRPr="007737C7" w:rsidRDefault="00D65295" w:rsidP="00D65295">
      <w:pPr>
        <w:pStyle w:val="Titre1"/>
      </w:pPr>
      <w:bookmarkStart w:id="0" w:name="_Toc509410383"/>
      <w:bookmarkStart w:id="1" w:name="_Toc77673226"/>
      <w:bookmarkStart w:id="2" w:name="_Toc77673552"/>
      <w:bookmarkStart w:id="3" w:name="_Toc77673579"/>
      <w:bookmarkStart w:id="4" w:name="_Toc77673836"/>
      <w:bookmarkStart w:id="5" w:name="_Toc77673846"/>
      <w:bookmarkStart w:id="6" w:name="_Toc77673938"/>
      <w:bookmarkStart w:id="7" w:name="_Toc77673989"/>
      <w:bookmarkStart w:id="8" w:name="_Toc77674031"/>
      <w:bookmarkStart w:id="9" w:name="_Toc77674057"/>
      <w:bookmarkStart w:id="10" w:name="_Toc77674235"/>
      <w:bookmarkStart w:id="11" w:name="_Toc77680420"/>
      <w:bookmarkStart w:id="12" w:name="_Toc77680426"/>
      <w:bookmarkStart w:id="13" w:name="_Toc77680435"/>
      <w:bookmarkStart w:id="14" w:name="_Toc77680442"/>
      <w:bookmarkStart w:id="15" w:name="_Toc77680542"/>
      <w:bookmarkStart w:id="16" w:name="_Toc77680549"/>
      <w:bookmarkStart w:id="17" w:name="_Toc77680841"/>
      <w:r w:rsidRPr="007737C7">
        <w:t>CCTP - Annexe 1</w:t>
      </w:r>
      <w:bookmarkEnd w:id="0"/>
      <w:r w:rsidRPr="007737C7">
        <w:t>- lot 1 – ch yvetot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D65295" w:rsidRPr="007737C7" w:rsidRDefault="00D65295" w:rsidP="00D65295">
      <w:pPr>
        <w:pStyle w:val="Sansinterligne"/>
        <w:rPr>
          <w:rFonts w:cs="Arial"/>
          <w:sz w:val="22"/>
        </w:rPr>
      </w:pPr>
    </w:p>
    <w:p w:rsidR="00D65295" w:rsidRPr="0037583B" w:rsidRDefault="00D65295" w:rsidP="00D65295">
      <w:pPr>
        <w:pStyle w:val="Sansinterligne"/>
        <w:rPr>
          <w:rFonts w:cs="Arial"/>
          <w:b/>
          <w:i/>
          <w:sz w:val="20"/>
          <w:szCs w:val="20"/>
        </w:rPr>
      </w:pPr>
      <w:r w:rsidRPr="0037583B">
        <w:rPr>
          <w:rFonts w:cs="Arial"/>
          <w:sz w:val="20"/>
          <w:szCs w:val="20"/>
        </w:rPr>
        <w:t>CONSIGNES DE TRANSPORT DES PRODUITS SANGUINS LABILES :</w:t>
      </w:r>
    </w:p>
    <w:p w:rsidR="00D65295" w:rsidRPr="0037583B" w:rsidRDefault="00D65295" w:rsidP="00D65295">
      <w:pPr>
        <w:pStyle w:val="Sansinterligne"/>
        <w:rPr>
          <w:rFonts w:cs="Arial"/>
          <w:b/>
          <w:i/>
          <w:color w:val="FF0000"/>
          <w:sz w:val="20"/>
          <w:szCs w:val="20"/>
        </w:rPr>
      </w:pPr>
      <w:r w:rsidRPr="0037583B">
        <w:rPr>
          <w:rFonts w:cs="Arial"/>
          <w:b/>
          <w:i/>
          <w:color w:val="FF0000"/>
          <w:sz w:val="20"/>
          <w:szCs w:val="20"/>
        </w:rPr>
        <w:t>(Arrêté du 24 Avril 2002 : BP Transport des prélèvements, produits ou échantillons issus du sang humain)</w:t>
      </w:r>
    </w:p>
    <w:p w:rsidR="00D65295" w:rsidRPr="0037583B" w:rsidRDefault="00D65295" w:rsidP="00D65295">
      <w:pPr>
        <w:pStyle w:val="Sansinterligne"/>
        <w:rPr>
          <w:rFonts w:cs="Arial"/>
          <w:b/>
          <w:i/>
          <w:sz w:val="22"/>
          <w:u w:val="single"/>
        </w:rPr>
      </w:pPr>
    </w:p>
    <w:p w:rsidR="00D65295" w:rsidRPr="0037583B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  <w:r w:rsidRPr="0037583B">
        <w:rPr>
          <w:rFonts w:cs="Arial"/>
          <w:b/>
          <w:i/>
          <w:sz w:val="20"/>
          <w:szCs w:val="20"/>
          <w:u w:val="single"/>
        </w:rPr>
        <w:t>PRISE EN CHARGE DES PRODUITS SANGUINS :</w:t>
      </w: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 xml:space="preserve">Les PSL  placés dans un </w:t>
      </w:r>
      <w:r w:rsidRPr="0037583B">
        <w:rPr>
          <w:rFonts w:cs="Arial"/>
          <w:b/>
          <w:i/>
          <w:sz w:val="20"/>
          <w:szCs w:val="20"/>
        </w:rPr>
        <w:t>conteneur</w:t>
      </w:r>
      <w:r w:rsidRPr="0037583B">
        <w:rPr>
          <w:rFonts w:cs="Arial"/>
          <w:i/>
          <w:sz w:val="20"/>
          <w:szCs w:val="20"/>
        </w:rPr>
        <w:t xml:space="preserve"> sont </w:t>
      </w:r>
      <w:r w:rsidRPr="0037583B">
        <w:rPr>
          <w:rFonts w:cs="Arial"/>
          <w:b/>
          <w:i/>
          <w:sz w:val="20"/>
          <w:szCs w:val="20"/>
        </w:rPr>
        <w:t>remis en main propre</w:t>
      </w:r>
      <w:r w:rsidRPr="0037583B">
        <w:rPr>
          <w:rFonts w:cs="Arial"/>
          <w:i/>
          <w:sz w:val="20"/>
          <w:szCs w:val="20"/>
        </w:rPr>
        <w:t xml:space="preserve"> au chauffeur par le personnel du site de distribution  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 xml:space="preserve">Un </w:t>
      </w:r>
      <w:r w:rsidRPr="0037583B">
        <w:rPr>
          <w:rFonts w:cs="Arial"/>
          <w:b/>
          <w:i/>
          <w:sz w:val="20"/>
          <w:szCs w:val="20"/>
        </w:rPr>
        <w:t>bordereau de transport</w:t>
      </w:r>
      <w:r w:rsidRPr="0037583B">
        <w:rPr>
          <w:rFonts w:cs="Arial"/>
          <w:i/>
          <w:sz w:val="20"/>
          <w:szCs w:val="20"/>
        </w:rPr>
        <w:t xml:space="preserve"> lui est remis avec le conteneur, précisant le nombre et le type de produits transportés, le destinataire, le responsable du transport ainsi que les consignes en cas de problème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</w:r>
    </w:p>
    <w:p w:rsidR="00D65295" w:rsidRPr="0037583B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  <w:r w:rsidRPr="0037583B">
        <w:rPr>
          <w:rFonts w:cs="Arial"/>
          <w:b/>
          <w:i/>
          <w:sz w:val="20"/>
          <w:szCs w:val="20"/>
          <w:u w:val="single"/>
        </w:rPr>
        <w:t>TRANSPORT :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>Les PSL sont transportés dans des conteneurs appropriés à leurs impératifs de conservation réglementaires.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</w:rPr>
        <w:t>En aucun cas ces conteneurs ne doivent être ouverts durant le transport</w:t>
      </w:r>
      <w:r w:rsidRPr="0037583B">
        <w:rPr>
          <w:rFonts w:cs="Arial"/>
          <w:i/>
          <w:sz w:val="20"/>
          <w:szCs w:val="20"/>
        </w:rPr>
        <w:t xml:space="preserve"> qui doit être effectué dans </w:t>
      </w:r>
      <w:r w:rsidRPr="0037583B">
        <w:rPr>
          <w:rFonts w:cs="Arial"/>
          <w:b/>
          <w:i/>
          <w:sz w:val="20"/>
          <w:szCs w:val="20"/>
        </w:rPr>
        <w:t xml:space="preserve">les plus brefs délais </w:t>
      </w:r>
      <w:r w:rsidRPr="0037583B">
        <w:rPr>
          <w:rFonts w:cs="Arial"/>
          <w:i/>
          <w:sz w:val="20"/>
          <w:szCs w:val="20"/>
        </w:rPr>
        <w:t>(risque de rupture de la chaîne du froid).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</w:rPr>
        <w:t>Ne jamais laisser le conteneur de PSL au soleil</w:t>
      </w:r>
      <w:r w:rsidRPr="0037583B">
        <w:rPr>
          <w:rFonts w:cs="Arial"/>
          <w:i/>
          <w:sz w:val="20"/>
          <w:szCs w:val="20"/>
        </w:rPr>
        <w:t xml:space="preserve"> dans une voiture ou près d’une source de chaleur.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 xml:space="preserve">Le véhicule ou compartiment chargé de produits sanguins doit assurer aux produits une </w:t>
      </w:r>
      <w:r w:rsidRPr="0037583B">
        <w:rPr>
          <w:rFonts w:cs="Arial"/>
          <w:b/>
          <w:i/>
          <w:sz w:val="20"/>
          <w:szCs w:val="20"/>
        </w:rPr>
        <w:t>protection contre le vol</w:t>
      </w:r>
      <w:r w:rsidRPr="0037583B">
        <w:rPr>
          <w:rFonts w:cs="Arial"/>
          <w:i/>
          <w:sz w:val="20"/>
          <w:szCs w:val="20"/>
        </w:rPr>
        <w:t xml:space="preserve"> (verrouillé).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 xml:space="preserve">Les véhicules assurant le transport des produits sanguins ne peuvent transporter simultanément </w:t>
      </w:r>
      <w:r w:rsidRPr="0037583B">
        <w:rPr>
          <w:rFonts w:cs="Arial"/>
          <w:b/>
          <w:i/>
          <w:sz w:val="20"/>
          <w:szCs w:val="20"/>
        </w:rPr>
        <w:t>ni des personnes ni des produits sans lien avec le service public de la transfusion.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</w:rPr>
        <w:t>En cas d’incident ou d’accident</w:t>
      </w:r>
      <w:r w:rsidRPr="0037583B">
        <w:rPr>
          <w:rFonts w:cs="Arial"/>
          <w:i/>
          <w:sz w:val="20"/>
          <w:szCs w:val="20"/>
        </w:rPr>
        <w:t xml:space="preserve"> survenant lors du transport, se reporter aux consignes mentionnées sur la fiche de transport située à l’extérieur du conteneur.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>Prévenir le site de distribution de l’EFS et/ou l’établissement dans les plus brefs délais afin que les mesures adéquates puissent être prises.</w:t>
      </w:r>
    </w:p>
    <w:p w:rsidR="00D65295" w:rsidRPr="0037583B" w:rsidRDefault="00D65295" w:rsidP="00D65295">
      <w:pPr>
        <w:pStyle w:val="Sansinterligne"/>
        <w:ind w:left="0" w:firstLine="0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  <w:u w:val="single"/>
        </w:rPr>
        <w:t>REMISE DES PSL AU DESTINATAIRE :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>A l’arrivée, les conteneurs doivent être remis en main propre à un agent du service destinataire.</w:t>
      </w: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b/>
          <w:i/>
          <w:sz w:val="20"/>
          <w:szCs w:val="20"/>
        </w:rPr>
        <w:t>Ne jamais laisser un conteneur de PSL sans surveillance</w:t>
      </w:r>
      <w:r w:rsidRPr="0037583B">
        <w:rPr>
          <w:rFonts w:cs="Arial"/>
          <w:i/>
          <w:sz w:val="20"/>
          <w:szCs w:val="20"/>
        </w:rPr>
        <w:t xml:space="preserve"> dans un couloir ou sur une paillasse.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  <w:u w:val="single"/>
        </w:rPr>
      </w:pPr>
    </w:p>
    <w:p w:rsidR="00D65295" w:rsidRPr="0037583B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  <w:r w:rsidRPr="0037583B">
        <w:rPr>
          <w:rFonts w:cs="Arial"/>
          <w:b/>
          <w:i/>
          <w:sz w:val="20"/>
          <w:szCs w:val="20"/>
          <w:u w:val="single"/>
        </w:rPr>
        <w:t>MATERIEL CONSEILLE DANS LE VEHICULE DE  TRANSPORT :</w:t>
      </w: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  <w:t>-</w:t>
      </w:r>
      <w:r w:rsidRPr="0037583B">
        <w:rPr>
          <w:rFonts w:cs="Arial"/>
          <w:i/>
          <w:sz w:val="20"/>
          <w:szCs w:val="20"/>
        </w:rPr>
        <w:tab/>
        <w:t>Gants à usage unique.</w:t>
      </w: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  <w:t>-</w:t>
      </w:r>
      <w:r w:rsidRPr="0037583B">
        <w:rPr>
          <w:rFonts w:cs="Arial"/>
          <w:i/>
          <w:sz w:val="20"/>
          <w:szCs w:val="20"/>
        </w:rPr>
        <w:tab/>
        <w:t>Sac poubelle en plastique.</w:t>
      </w: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  <w:t>-</w:t>
      </w:r>
      <w:r w:rsidRPr="0037583B">
        <w:rPr>
          <w:rFonts w:cs="Arial"/>
          <w:i/>
          <w:sz w:val="20"/>
          <w:szCs w:val="20"/>
        </w:rPr>
        <w:tab/>
        <w:t>Papier absorbant.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ab/>
        <w:t>-</w:t>
      </w:r>
      <w:r w:rsidRPr="0037583B">
        <w:rPr>
          <w:rFonts w:cs="Arial"/>
          <w:i/>
          <w:sz w:val="20"/>
          <w:szCs w:val="20"/>
        </w:rPr>
        <w:tab/>
        <w:t>Détergent-désinfectant.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  <w:r w:rsidRPr="0037583B">
        <w:rPr>
          <w:rFonts w:cs="Arial"/>
          <w:i/>
          <w:sz w:val="20"/>
          <w:szCs w:val="20"/>
        </w:rPr>
        <w:t>Ce matériel minimum doit permettre de pallier à un éventuel incident exposant le personnel à un contact avec les produits sanguins.</w:t>
      </w:r>
    </w:p>
    <w:p w:rsidR="00D65295" w:rsidRPr="0037583B" w:rsidRDefault="00D65295" w:rsidP="00D65295">
      <w:pPr>
        <w:pStyle w:val="Sansinterligne"/>
        <w:rPr>
          <w:rFonts w:cs="Arial"/>
          <w:i/>
          <w:sz w:val="20"/>
          <w:szCs w:val="20"/>
        </w:rPr>
      </w:pPr>
    </w:p>
    <w:p w:rsidR="00D65295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  <w:r w:rsidRPr="0037583B">
        <w:rPr>
          <w:rFonts w:cs="Arial"/>
          <w:b/>
          <w:i/>
          <w:sz w:val="20"/>
          <w:szCs w:val="20"/>
          <w:u w:val="single"/>
        </w:rPr>
        <w:t>NUMEROS DE TELEPHONE UTILES :</w:t>
      </w:r>
    </w:p>
    <w:p w:rsidR="00D65295" w:rsidRDefault="00D65295" w:rsidP="00D65295">
      <w:pPr>
        <w:pStyle w:val="Sansinterligne"/>
        <w:rPr>
          <w:rFonts w:cs="Arial"/>
          <w:b/>
          <w:i/>
          <w:sz w:val="20"/>
          <w:szCs w:val="20"/>
          <w:u w:val="single"/>
        </w:rPr>
      </w:pP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sz w:val="20"/>
          <w:szCs w:val="20"/>
        </w:rPr>
        <w:t xml:space="preserve">Hôpital local Asselin </w:t>
      </w:r>
      <w:proofErr w:type="spellStart"/>
      <w:r w:rsidRPr="0037583B">
        <w:rPr>
          <w:rFonts w:cs="Arial"/>
          <w:sz w:val="20"/>
          <w:szCs w:val="20"/>
        </w:rPr>
        <w:t>Hédelin</w:t>
      </w:r>
      <w:proofErr w:type="spellEnd"/>
      <w:r w:rsidRPr="0037583B">
        <w:rPr>
          <w:rFonts w:cs="Arial"/>
          <w:sz w:val="20"/>
          <w:szCs w:val="20"/>
        </w:rPr>
        <w:t xml:space="preserve"> – Service de médecine</w:t>
      </w: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sz w:val="20"/>
          <w:szCs w:val="20"/>
        </w:rPr>
        <w:t>Tél : 02 35 95 73 00   Fax : 02 35 95 52 20</w:t>
      </w:r>
    </w:p>
    <w:p w:rsidR="00D65295" w:rsidRPr="0037583B" w:rsidRDefault="00D65295" w:rsidP="00D65295">
      <w:pPr>
        <w:pStyle w:val="Sansinterligne"/>
        <w:jc w:val="center"/>
        <w:rPr>
          <w:rFonts w:cs="Arial"/>
          <w:sz w:val="20"/>
          <w:szCs w:val="20"/>
        </w:rPr>
      </w:pP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sz w:val="20"/>
          <w:szCs w:val="20"/>
        </w:rPr>
        <w:t>EFS DEROCQUE – Charles Nicolle</w:t>
      </w:r>
    </w:p>
    <w:p w:rsidR="00D65295" w:rsidRPr="0037583B" w:rsidRDefault="00D65295" w:rsidP="00D65295">
      <w:pPr>
        <w:pStyle w:val="Sansinterligne"/>
        <w:rPr>
          <w:rFonts w:cs="Arial"/>
          <w:sz w:val="20"/>
          <w:szCs w:val="20"/>
        </w:rPr>
      </w:pPr>
      <w:r w:rsidRPr="0037583B">
        <w:rPr>
          <w:rFonts w:cs="Arial"/>
          <w:sz w:val="20"/>
          <w:szCs w:val="20"/>
        </w:rPr>
        <w:t>Tél : 02 32 88 80 90   Fax : 02 35 70 31 54</w:t>
      </w:r>
    </w:p>
    <w:p w:rsidR="00AE071C" w:rsidRDefault="00D65295">
      <w:bookmarkStart w:id="18" w:name="_GoBack"/>
      <w:bookmarkEnd w:id="18"/>
    </w:p>
    <w:sectPr w:rsidR="00AE0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59C"/>
    <w:rsid w:val="008615CD"/>
    <w:rsid w:val="00CB359C"/>
    <w:rsid w:val="00D65295"/>
    <w:rsid w:val="00F6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DFF45-6CF3-4381-9C5B-A806C97A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D65295"/>
    <w:pPr>
      <w:keepNext/>
      <w:spacing w:after="0" w:line="240" w:lineRule="auto"/>
      <w:jc w:val="center"/>
      <w:outlineLvl w:val="0"/>
    </w:pPr>
    <w:rPr>
      <w:rFonts w:ascii="Calibri" w:eastAsia="Times New Roman" w:hAnsi="Calibri" w:cs="Times New Roman"/>
      <w:b/>
      <w:bCs/>
      <w:i/>
      <w:caps/>
      <w:kern w:val="28"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D65295"/>
    <w:rPr>
      <w:rFonts w:ascii="Calibri" w:eastAsia="Times New Roman" w:hAnsi="Calibri" w:cs="Times New Roman"/>
      <w:b/>
      <w:bCs/>
      <w:i/>
      <w:caps/>
      <w:kern w:val="28"/>
      <w:sz w:val="28"/>
      <w:szCs w:val="28"/>
      <w:u w:val="single"/>
      <w:lang w:eastAsia="fr-FR"/>
    </w:rPr>
  </w:style>
  <w:style w:type="paragraph" w:styleId="Sansinterligne">
    <w:name w:val="No Spacing"/>
    <w:uiPriority w:val="1"/>
    <w:qFormat/>
    <w:rsid w:val="00D65295"/>
    <w:pPr>
      <w:spacing w:after="0" w:line="240" w:lineRule="auto"/>
      <w:ind w:left="216" w:firstLine="2"/>
      <w:jc w:val="both"/>
    </w:pPr>
    <w:rPr>
      <w:rFonts w:ascii="Calibri" w:eastAsia="Calibri" w:hAnsi="Calibri" w:cs="Calibri"/>
      <w:color w:val="00000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1925</Characters>
  <Application>Microsoft Office Word</Application>
  <DocSecurity>0</DocSecurity>
  <Lines>16</Lines>
  <Paragraphs>4</Paragraphs>
  <ScaleCrop>false</ScaleCrop>
  <Company>CHU de Rouen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BOUGRAS, Marion</dc:creator>
  <cp:keywords/>
  <dc:description/>
  <cp:lastModifiedBy>BOUGRAS, Marion</cp:lastModifiedBy>
  <cp:revision>2</cp:revision>
  <dcterms:created xsi:type="dcterms:W3CDTF">2021-07-21T14:00:00Z</dcterms:created>
  <dcterms:modified xsi:type="dcterms:W3CDTF">2021-07-21T14:01:00Z</dcterms:modified>
</cp:coreProperties>
</file>